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عقــد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إيجـــــــار</w:t>
      </w:r>
    </w:p>
    <w:p w:rsidR="00000000" w:rsidDel="00000000" w:rsidP="00000000" w:rsidRDefault="00000000" w:rsidRPr="00000000" w14:paraId="0000000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السبت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01/01/1400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01/01/2014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الاتفاق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مدينة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الرياض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المؤجر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إسم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123456789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01/01/1400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ويمثلها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والواقع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البريدي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الرمز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البريدي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أرقام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011234567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فاكس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011234568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ويشار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ولأغراض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المؤجر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المستأجر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123456789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الإصدار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01/01/1400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ومصدره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والمقيم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الرمز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البريدي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012345678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055123123123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ويشار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ولأغراض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المستأجر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تمهيد</w:t>
      </w:r>
    </w:p>
    <w:p w:rsidR="00000000" w:rsidDel="00000000" w:rsidP="00000000" w:rsidRDefault="00000000" w:rsidRPr="00000000" w14:paraId="0000000A">
      <w:pPr>
        <w:bidi w:val="1"/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الجهة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المالكة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القائم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الإدارة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مستثمر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المجمع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ويشار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بالمركز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الواقع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بمدينة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الرياض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)، </w:t>
      </w:r>
      <w:r w:rsidDel="00000000" w:rsidR="00000000" w:rsidRPr="00000000">
        <w:rPr>
          <w:sz w:val="24"/>
          <w:szCs w:val="24"/>
          <w:rtl w:val="1"/>
        </w:rPr>
        <w:t xml:space="preserve">وحيث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يرغب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باستئجار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موقع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مواقع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إطلاع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مخططات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وكتيب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معايير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بالمستأجرين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مكملة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ومتممة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لذا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تبادل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الإيجاب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والقبول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أهليتهما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المعتبرة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شرعا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ونظاما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إبرام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وفقا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للشروط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والمواد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التالية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الأولى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التمهيد</w:t>
      </w:r>
    </w:p>
    <w:p w:rsidR="00000000" w:rsidDel="00000000" w:rsidP="00000000" w:rsidRDefault="00000000" w:rsidRPr="00000000" w14:paraId="0000000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التمهيد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جزء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يتجزأ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ويقرأ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وملزم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لطرفيه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الثانية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محل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العقد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رقم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123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بالمركز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بمدينة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الرياض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ومساحته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200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2 </w:t>
      </w:r>
      <w:r w:rsidDel="00000000" w:rsidR="00000000" w:rsidRPr="00000000">
        <w:rPr>
          <w:sz w:val="24"/>
          <w:szCs w:val="24"/>
          <w:rtl w:val="1"/>
        </w:rPr>
        <w:t xml:space="preserve">ومكون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طابقين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)، </w:t>
      </w:r>
      <w:r w:rsidDel="00000000" w:rsidR="00000000" w:rsidRPr="00000000">
        <w:rPr>
          <w:sz w:val="24"/>
          <w:szCs w:val="24"/>
          <w:rtl w:val="1"/>
        </w:rPr>
        <w:t xml:space="preserve">العائد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النحو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والموضح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بالمخطط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والموقع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الطرفين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استئجار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الموضحة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أعلاه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وفقا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لشروط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وأحكام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شروطه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وبنوده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وأحكامه</w:t>
      </w:r>
    </w:p>
    <w:p w:rsidR="00000000" w:rsidDel="00000000" w:rsidP="00000000" w:rsidRDefault="00000000" w:rsidRPr="00000000" w14:paraId="0000000F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الثالثة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الغرض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التأجير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3/1 </w:t>
      </w:r>
      <w:r w:rsidDel="00000000" w:rsidR="00000000" w:rsidRPr="00000000">
        <w:rPr>
          <w:sz w:val="24"/>
          <w:szCs w:val="24"/>
          <w:rtl w:val="1"/>
        </w:rPr>
        <w:t xml:space="preserve">الغرض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استئجار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استخدامها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نشاط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بيع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تجزئة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ملابس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وأحذية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ويكون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التجاري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للمعرض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المعرض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يجوز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استغلال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آخر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الخطية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3/2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بممارسة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النشاط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حتى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التوقف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ممارسة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النشاط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بسبب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سحب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الوكالة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الأسباب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تحويل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تصفية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بضائع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تؤدي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ضعف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الجوهرية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فإنه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فسخ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وإنهائه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إنذار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المطالبة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تعويض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الرابعة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حالة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العين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المؤجرة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الطبيعة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مخططات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معاينة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نافية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للجهالة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ارتضى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والتصاميم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والرسومات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الانتفاع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للغرض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توقيعه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صريحة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نافية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للجهالة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والغرر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الخامسة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مدة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العقد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ميلادية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ملزمة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تبدأ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01/01/2013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وتنتهي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01/01/2014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السادسة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القيمة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الإيجارية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وطريقة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السداد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6/1 </w:t>
      </w:r>
      <w:r w:rsidDel="00000000" w:rsidR="00000000" w:rsidRPr="00000000">
        <w:rPr>
          <w:sz w:val="24"/>
          <w:szCs w:val="24"/>
          <w:rtl w:val="1"/>
        </w:rPr>
        <w:t xml:space="preserve">تبلغ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القيمة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الإجمالية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للإيجار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المساحة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المحددة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أعلاه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لرسوم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المناطق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المشتركة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مبلغ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وقدره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100,000.00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ريال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مئة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ألف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ريال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سعودي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فقط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، </w:t>
      </w:r>
      <w:r w:rsidDel="00000000" w:rsidR="00000000" w:rsidRPr="00000000">
        <w:rPr>
          <w:sz w:val="24"/>
          <w:szCs w:val="24"/>
          <w:rtl w:val="1"/>
        </w:rPr>
        <w:t xml:space="preserve">للسنة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التعاقدية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وبواقع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500.00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ريال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6/2 </w:t>
      </w:r>
      <w:r w:rsidDel="00000000" w:rsidR="00000000" w:rsidRPr="00000000">
        <w:rPr>
          <w:sz w:val="24"/>
          <w:szCs w:val="24"/>
          <w:rtl w:val="1"/>
        </w:rPr>
        <w:t xml:space="preserve">يدفع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الإيجار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دفعتين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متساويتين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الدفعة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وتمثل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50%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القيمة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الإيجارية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بداية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التعاقدية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والثانية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تمثل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50%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بداية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الستة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أشهر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المتممة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للسنة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التعاقدية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6/3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مراعاة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نصت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الفقرة</w:t>
      </w:r>
      <w:r w:rsidDel="00000000" w:rsidR="00000000" w:rsidRPr="00000000">
        <w:rPr>
          <w:sz w:val="24"/>
          <w:szCs w:val="24"/>
          <w:rtl w:val="1"/>
        </w:rPr>
        <w:t xml:space="preserve"> 6/2 </w:t>
      </w:r>
      <w:r w:rsidDel="00000000" w:rsidR="00000000" w:rsidRPr="00000000">
        <w:rPr>
          <w:sz w:val="24"/>
          <w:szCs w:val="24"/>
          <w:rtl w:val="1"/>
        </w:rPr>
        <w:t xml:space="preserve">فإن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الإيجار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للسنة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دفعه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النحو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التالي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50%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50,000.00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خمسون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الإيجار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50%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50,000.00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خمسون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الإيجار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6/4 </w:t>
      </w:r>
      <w:r w:rsidDel="00000000" w:rsidR="00000000" w:rsidRPr="00000000">
        <w:rPr>
          <w:sz w:val="24"/>
          <w:szCs w:val="24"/>
          <w:rtl w:val="1"/>
        </w:rPr>
        <w:t xml:space="preserve">تعتبر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الدفعة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بالبند</w:t>
      </w:r>
      <w:r w:rsidDel="00000000" w:rsidR="00000000" w:rsidRPr="00000000">
        <w:rPr>
          <w:sz w:val="24"/>
          <w:szCs w:val="24"/>
          <w:rtl w:val="1"/>
        </w:rPr>
        <w:t xml:space="preserve"> 6/2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6/3 </w:t>
      </w:r>
      <w:r w:rsidDel="00000000" w:rsidR="00000000" w:rsidRPr="00000000">
        <w:rPr>
          <w:sz w:val="24"/>
          <w:szCs w:val="24"/>
          <w:rtl w:val="1"/>
        </w:rPr>
        <w:t xml:space="preserve">حقا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خالصا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الوفاء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بالتزاماته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الاعتبار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قوة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قاهرة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تخرج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أدت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السابعة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التنازل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/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إدخال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شريك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/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تأجير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العين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1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يجوز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إدخال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شريك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التنازل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الإيجار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تأجير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جزئيا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الباطن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الظاهر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رهن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جزء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الالتزام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يؤدي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جزء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الثامنة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تشغيل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المحل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ببدء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نشاطه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إنتاجيته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وطبقا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للشكل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والتصاميم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01/01/2013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التشغيل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بتطبيق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العقوبتين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المادة</w:t>
      </w:r>
      <w:r w:rsidDel="00000000" w:rsidR="00000000" w:rsidRPr="00000000">
        <w:rPr>
          <w:sz w:val="24"/>
          <w:szCs w:val="24"/>
          <w:rtl w:val="1"/>
        </w:rPr>
        <w:t xml:space="preserve"> 17/2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الجزاءات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التاسعة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تسليم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المحل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9/1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إشعار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خطيا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جاهزية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بموعد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التسليم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أسبوعين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الموعد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الإشعار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الفعلي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لتسليم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التحلل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الالتزام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الأحوال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سبب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الأسباب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9/2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التسليم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محضر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سلامة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وطابقتها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للتصاميم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والمخططات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المعتمدة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وبيان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المساحة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النهائية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إرفاق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نسختين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المحضر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جزءا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ومكمل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ويقرأ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معه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9/3 </w:t>
      </w:r>
      <w:r w:rsidDel="00000000" w:rsidR="00000000" w:rsidRPr="00000000">
        <w:rPr>
          <w:sz w:val="24"/>
          <w:szCs w:val="24"/>
          <w:rtl w:val="1"/>
        </w:rPr>
        <w:t xml:space="preserve">يقر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مطابقة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مساحة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المحددة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المساحة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الفعلية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فإنه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احتساب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المساحة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الفعلية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طبقا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للطبيعة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تعديل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طبقا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المساحة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9/4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انقضى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14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يوما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إشعار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باستلام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فإنه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للمؤجر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الخيار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استمرار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فسخ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ويخضع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الجزاءات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المترتبة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9/5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بتقديم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الدراسات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والتصاميم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والديكورات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استخدامها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لتجهيز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أربعة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عشر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يوما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9/6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البدء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الديكور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المخططات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التالية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مخطط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التكييف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جدول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الأحمال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الكهربائية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مخطط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الإنارة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نظام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الإطفاء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ونظام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الإنذار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الحريق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مخطط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المدنية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مخطط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الواجهات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2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9/7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كشك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تصاميم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وصورة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الكشك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توضيح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أبعاد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الطول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والارتفاع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البدء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تركيب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الكشك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9/8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افتتاح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حصوله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شهادة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إكمال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العاشرة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تجهيز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المحل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10/1 </w:t>
      </w:r>
      <w:r w:rsidDel="00000000" w:rsidR="00000000" w:rsidRPr="00000000">
        <w:rPr>
          <w:sz w:val="24"/>
          <w:szCs w:val="24"/>
          <w:rtl w:val="1"/>
        </w:rPr>
        <w:t xml:space="preserve">يمنح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تجهيز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قدرها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أربعة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أشهر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كاملة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تبدأ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تسليمه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الخطاب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يشعره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بجاهزية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الاستلام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ولتابعيه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الدخول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والخروج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واتخاذ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للقيام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بتجهيزاته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طبقا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لما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تعليمات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التجهيز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جزءا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فإنه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خصمها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المجانية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المخصصة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للتجهيز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10/2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بالبدء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تجهيز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ثلاثين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يوما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انقضت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البدء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التجهيز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الأعمال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الميكانيكية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الكهربائية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الديكور</w:t>
      </w:r>
      <w:r w:rsidDel="00000000" w:rsidR="00000000" w:rsidRPr="00000000">
        <w:rPr>
          <w:sz w:val="24"/>
          <w:szCs w:val="24"/>
          <w:rtl w:val="1"/>
        </w:rPr>
        <w:t xml:space="preserve"> ....</w:t>
      </w:r>
      <w:r w:rsidDel="00000000" w:rsidR="00000000" w:rsidRPr="00000000">
        <w:rPr>
          <w:sz w:val="24"/>
          <w:szCs w:val="24"/>
          <w:rtl w:val="1"/>
        </w:rPr>
        <w:t xml:space="preserve">الخ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للمؤجر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إبقاء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وتطبيق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الغرامة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المنصوص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المادة</w:t>
      </w:r>
      <w:r w:rsidDel="00000000" w:rsidR="00000000" w:rsidRPr="00000000">
        <w:rPr>
          <w:sz w:val="24"/>
          <w:szCs w:val="24"/>
          <w:rtl w:val="1"/>
        </w:rPr>
        <w:t xml:space="preserve"> 17/1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بفسخ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إشعار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قضائي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إجراء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آخر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ويخضع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الجزاءات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المترتبة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10/3 </w:t>
      </w:r>
      <w:r w:rsidDel="00000000" w:rsidR="00000000" w:rsidRPr="00000000">
        <w:rPr>
          <w:sz w:val="24"/>
          <w:szCs w:val="24"/>
          <w:rtl w:val="1"/>
        </w:rPr>
        <w:t xml:space="preserve">تبقى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العناصر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والديكورات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يقيمها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ملكا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طوال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إزالتها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وتسليم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تسلمه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بقاء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العناصر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مقابل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10/4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التجهيز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كهربائية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أخرى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تزيد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تخصيصه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10/5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بتجهيز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وتركيب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نظام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متكامل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لإطفاء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الحريق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وتركيب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رؤوس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المرشات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Sprinkler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Head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وذلك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المقاول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المعتمد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10/6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بتركيب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الواجهة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الزجاجية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والباب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الخارجي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يفتح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أعلى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مانع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للرؤية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بمتابعة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وإشراف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الحادية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عشر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التشغيل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والصيانة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11/1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بمراعاة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والشروط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التنظيمية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الموضحة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كتيب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تعليمات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التجهيز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والعرض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3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11/2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إجراء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تعديل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إضافة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مقداره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موقعه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وخطية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وتحت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إشرافه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11/3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بنظافة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وصيانة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وتوابعها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وتجهيزاتها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كافة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نفقته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11/4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المصاريف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والنفقات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فواتير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كهرباء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ومياه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وهواتف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والصرف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حكومية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تتعلق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الاستئجار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يبقى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مسئولا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الغير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بتسديد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ديون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تترتب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نتيجة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استعماله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وانتفاعه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بالعين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11/5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باستخراج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التراخيص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الحكومية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اللازمة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لنشاطه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مسئول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مسؤولية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كاملة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الجهات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المختصة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بشأن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حصوله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تطبيق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شروطها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يخلي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مسئوليته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أضرارا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تعويضات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ناتجة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استخراج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التراخيص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11/6 </w:t>
      </w:r>
      <w:r w:rsidDel="00000000" w:rsidR="00000000" w:rsidRPr="00000000">
        <w:rPr>
          <w:sz w:val="24"/>
          <w:szCs w:val="24"/>
          <w:rtl w:val="1"/>
        </w:rPr>
        <w:t xml:space="preserve">يتعهد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بتسليم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تراخيص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البلدية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المستخرجة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11/7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بالأنظمة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واللوائح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التنفيذية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المملكة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وبكافة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الصادرة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إدارة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المركز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مسئولا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يجري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استلامه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11/8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ملتهبة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مفرقعة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خطرة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مضرة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للصحة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وللسلامة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خارجها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11/9 </w:t>
      </w:r>
      <w:r w:rsidDel="00000000" w:rsidR="00000000" w:rsidRPr="00000000">
        <w:rPr>
          <w:sz w:val="24"/>
          <w:szCs w:val="24"/>
          <w:rtl w:val="1"/>
        </w:rPr>
        <w:t xml:space="preserve">يقوم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الإصلاحات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الطبيعة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الإنشائية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نفقته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وحده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الثانية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عشر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احكام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عامة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3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21/1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تعليق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لوحات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تعريفية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دعائية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بالتنسيق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موافقته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الكتابية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يستثنى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التجاري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واجهة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للدلالة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تحديده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معايير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بالمستأجرين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12/2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تحديد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اوقات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طبقا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للسياسية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التشغيلية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انظمة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الجهات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الحكومية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الاختصاص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الشأن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تشغيل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أجهزة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السلالم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المصاعد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الجدول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الزمني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بمعرفته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طيلة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الأسبوع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يراعي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الأعياد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عطلة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نهاية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الأسبوع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اليوم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الصيانة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العوامل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تؤثر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اداء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تشغيل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الأجهزة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12/3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بالتأمين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نشاطاته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ممتلكاته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بضائعه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الأخطار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تصيبها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تصيب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التزام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عاتق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الشأن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12/4 </w:t>
      </w:r>
      <w:r w:rsidDel="00000000" w:rsidR="00000000" w:rsidRPr="00000000">
        <w:rPr>
          <w:sz w:val="24"/>
          <w:szCs w:val="24"/>
          <w:rtl w:val="1"/>
        </w:rPr>
        <w:t xml:space="preserve">ليس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أدنى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مسئولية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تعرضت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الاحتيال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السرقة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الاحتياطات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تعرضه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الأضرار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12/5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مسئول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اضرار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تحدث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نتيجة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انقطاع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الكهربائي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المياه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أجهزة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التكييف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تنتج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ظرف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ظروف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القوة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القاهرة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الحادث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المفاجئ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الثالثة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عشر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فسخ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العقد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وجسامة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المخالفة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فسخ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إشعار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قضائي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الاحتفاظ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مبلغ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والمطالبة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بالتعويض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الأضرار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الناتجة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بسبب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لأحد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التالية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4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13/1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بسداد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الالتزامات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السداد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13/2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باستلام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المحدد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13/2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بالإعداد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التجهيز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لافتتاح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موعدها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الثامنة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أعلاه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وفقا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لمحضر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المرفق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13/3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المخططات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التصاميم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30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يوما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توقيع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الإيجار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10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أيام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اولا</w:t>
      </w:r>
      <w:r w:rsidDel="00000000" w:rsidR="00000000" w:rsidRPr="00000000">
        <w:rPr>
          <w:sz w:val="24"/>
          <w:szCs w:val="24"/>
          <w:rtl w:val="1"/>
        </w:rPr>
        <w:t xml:space="preserve">ً.</w:t>
      </w:r>
    </w:p>
    <w:p w:rsidR="00000000" w:rsidDel="00000000" w:rsidP="00000000" w:rsidRDefault="00000000" w:rsidRPr="00000000" w14:paraId="0000004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13/4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التراخيص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اللازمة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لممارسة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نشاطه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13/5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ثبت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بطريقة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تؤدي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بالأضرار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بالأخرين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بسلامة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المبنى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اعتباره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منسجم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المجاورة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مشوها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أغراض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مخالفة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للنظام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المملكة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4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13/6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بالتنازل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جزئيا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السماح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بالتقبيل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نهائيا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13/7 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يمنعه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الاستمرار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بمزاولة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13/8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مواده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الرابعة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عشر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إخلاء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العين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المؤجرة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14/1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الأحوال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فسخ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إنهاءه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بإخلاء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تسليمها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أصولا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اليوم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الأخير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اليوم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بالفسخ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مهما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السبب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فيلتزم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بمباشرة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الإخلاء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وتسليم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تتجاوز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ثلاثون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يوما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التبليغ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بالفسخ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14/2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دعت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الإخلاء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لغرض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الصيانة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الضرورية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شابهها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الضرورات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إنجازه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بالإخلاء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المطالبة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بالتعويض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الإخلاء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5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14/3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امتناع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إخلاء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رغم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فللمؤجر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إشعار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التفويض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إخلائها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بمعرفته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محضر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إثبات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شهود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إثبات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رسمي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أدنى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مسئولية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يتعلق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بمحتويات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حتى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إخلاء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محضر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الإثبات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المادة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14/4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بنوده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فسخ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إشعار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قضائي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دخول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أذن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استلامه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القيام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بجرد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محتويا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بحضور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شاهدين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وتبقى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محتويات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الثابتة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بالجرد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كضمان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لحقوقه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بالبيع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تسليمها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كامله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الأضرار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المعنوية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المصروفات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النفقات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الإدارية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القضائية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تكبدها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ببنود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شيء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بصدد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مطالبات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دعاوي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الخامسة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عشر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حق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الطرف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التصرف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بالمركز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15/1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بالتأجير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بالبيع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بالتنازل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الاعتراض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السبب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يسرى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مواجهة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الجديد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بشروط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السادسة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عشر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سريان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عقد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الإيجار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ينتهي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بالوفاة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بالإفلاس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بزوال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طرفيه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وتستمر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الالتزامات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النظامية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مواجهة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الورثة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الخلف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النظام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التصفية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السابعة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عشر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الغرامات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 </w:t>
      </w:r>
    </w:p>
    <w:p w:rsidR="00000000" w:rsidDel="00000000" w:rsidP="00000000" w:rsidRDefault="00000000" w:rsidRPr="00000000" w14:paraId="0000005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17/1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التزام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بالبدء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إتمام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تجهيزات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الثامنة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ومباشرة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النشاط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ابتداء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اليوم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للافتتاح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فإن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غرامة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تعادل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ضعف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مبلغ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لليوم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الواحد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5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17/2  </w:t>
      </w:r>
      <w:r w:rsidDel="00000000" w:rsidR="00000000" w:rsidRPr="00000000">
        <w:rPr>
          <w:sz w:val="24"/>
          <w:szCs w:val="24"/>
          <w:rtl w:val="1"/>
        </w:rPr>
        <w:t xml:space="preserve">يتحمل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يعادل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أجرة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3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أيام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كل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يوم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إساءته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النظافة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المظهر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للمركز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17/3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بتعويض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تسببه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افتتاح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بمنحه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سماح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إيجار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تعادل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نفس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التأخر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الثامنة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عشر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القوة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القاهرة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مسئولا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تقصير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عجز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التزاماته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عائدا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لأسباب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خارجة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إرادته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تحكمه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وتشمل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الأسباب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سبيل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المثال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الحصر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التأخير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التقصير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الناجم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توصيل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الكهرباء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المياه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خلافه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الاضطرابات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الأحداث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العالمية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الحرائق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الكوارث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الطبيعية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التاسعة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عشر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التعويضات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19/1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بتعويض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بسبب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انتفاع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المؤجرة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انتفاعا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كليا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بسبب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بإعادة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جزء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يعادل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التوقف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19/2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المطالبة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تبقى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بقية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الإيجار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رغبته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الإخلاء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المدفوع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قيمته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فسخ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الايجار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19/4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انواع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التعويض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نزع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الملكية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للمنفعة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العشرون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المعروضات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طريقة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العرض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20/1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بتجهيز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محلاته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بشكل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راقي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بمراعاة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التقاليد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والأنظمة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المعمول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المملكة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المعروضات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طريقة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العاملين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المسئول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الجهات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العلاقة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مخالفة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6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20/2 </w:t>
      </w: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بالمحافظة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النظافة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يجوز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المخلفات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العبوات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الفارغة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وغيرها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الأماكن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المخصصة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الغرض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يلزمه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المحافظة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المظهر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للمركز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5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الحادية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العشرون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الشحن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التفريغ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بشروط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الشحن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التفريغ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للبضائع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وفقا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للأوقات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يحددها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استخدام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الممرات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المناطق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المصاعد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يخصصها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الغرض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الثانية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والعشرون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استخدام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المرافق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العامة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بعدم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المبنى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الأسطح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والارتدادات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الممرات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الخارجية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المواقف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الحمامات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المشتركة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وخلافها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الأغراض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أعدت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الثالثة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العشرون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شمول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العقد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كل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الاتفاق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يجسد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الاتفاق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يتعلق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بموضوعه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المكاتبات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يلغي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الاتفاقات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التفاهمات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الالتزامات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شفوية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تعديل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أثر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يوافق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B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الرابعة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والعشرون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مستندات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العقد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جزء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يتجزأ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مكملا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يأخذ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حكمه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يفسر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تعليمات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التجهيز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الكروكي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لموقع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المؤجرة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موقعا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محضر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المؤجرة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محاضر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موقعة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مستندات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مواده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تغلب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الخامسة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العشرون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الإخطارات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ترسل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الإخطارات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المكتوبة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المرسلة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آخر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وأي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تعديل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يبلغ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بالبريد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المسجل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لقاء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التوقيع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بالاستلام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السادسة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العشرون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القانون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الواجب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التطبيق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تسوية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المنازعات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26/1 </w:t>
      </w:r>
      <w:r w:rsidDel="00000000" w:rsidR="00000000" w:rsidRPr="00000000">
        <w:rPr>
          <w:sz w:val="24"/>
          <w:szCs w:val="24"/>
          <w:rtl w:val="1"/>
        </w:rPr>
        <w:t xml:space="preserve">تخضع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احكام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وتطبق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حصرا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الأنظمة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المفعول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المملكة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7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26/2 </w:t>
      </w:r>
      <w:r w:rsidDel="00000000" w:rsidR="00000000" w:rsidRPr="00000000">
        <w:rPr>
          <w:sz w:val="24"/>
          <w:szCs w:val="24"/>
          <w:rtl w:val="1"/>
        </w:rPr>
        <w:t xml:space="preserve">حرر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باللغة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الضرورة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نسخة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مترجمة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اللغة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اختلاف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اللغتين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اللغة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المرجع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التوضيح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26/3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ينشأ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تضمنه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يصار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بالطرق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التفاوضية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تعذر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المرجع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المختص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المملكة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7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المادة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السابعة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العشرون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نسخ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حرر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نسختين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أصليتين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احتفظ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بنسخة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بموجبها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والله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الموفق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خير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الشاهدين</w:t>
      </w:r>
    </w:p>
    <w:p w:rsidR="00000000" w:rsidDel="00000000" w:rsidP="00000000" w:rsidRDefault="00000000" w:rsidRPr="00000000" w14:paraId="0000007C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64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الطرف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المؤجر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الطرف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المستأجر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"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يمثلها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عبدالله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عبدالله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عبدالله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عبدالله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..................</w:t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..................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01/01/1400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01/01/1400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ختم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3556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53556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C1308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06CF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6CFE"/>
  </w:style>
  <w:style w:type="paragraph" w:styleId="Footer">
    <w:name w:val="footer"/>
    <w:basedOn w:val="Normal"/>
    <w:link w:val="FooterChar"/>
    <w:uiPriority w:val="99"/>
    <w:unhideWhenUsed w:val="1"/>
    <w:rsid w:val="00306CF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6CF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f5+fkLZAYTPf84Yr+Fil1g5qpQ==">AMUW2mUeuZ3MKgkh8hnB2Ce5nhTERYrwstGCQy4EMsSBAeyLVJ/vDEXE0/NvHPMCiMSYha6KBSNm99/XiFETzryc/4stMliGxRnbUnuhRZpxsPFx9BNnnV8hhUtH0ym8/t6UgpuNuO26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2014-04-29T17:32:00Z</dcterms:created>
  <dc:creator>Waraqi.com</dc:creator>
</cp:coreProperties>
</file>