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عقد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تأسيس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شركة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الشركة</w:t>
      </w:r>
      <w:r w:rsidDel="00000000" w:rsidR="00000000" w:rsidRPr="00000000">
        <w:rPr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ذات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مسؤولية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محدودة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بعون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الاتفاق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01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color w:val="ff0000"/>
          <w:rtl w:val="0"/>
        </w:rPr>
        <w:t xml:space="preserve">01</w:t>
      </w:r>
      <w:r w:rsidDel="00000000" w:rsidR="00000000" w:rsidRPr="00000000">
        <w:rPr>
          <w:b w:val="1"/>
          <w:rtl w:val="0"/>
        </w:rPr>
        <w:t xml:space="preserve">/ </w:t>
      </w:r>
      <w:r w:rsidDel="00000000" w:rsidR="00000000" w:rsidRPr="00000000">
        <w:rPr>
          <w:b w:val="1"/>
          <w:color w:val="ff0000"/>
          <w:rtl w:val="0"/>
        </w:rPr>
        <w:t xml:space="preserve">1431</w:t>
      </w:r>
      <w:r w:rsidDel="00000000" w:rsidR="00000000" w:rsidRPr="00000000">
        <w:rPr>
          <w:b w:val="1"/>
          <w:rtl w:val="1"/>
        </w:rPr>
        <w:t xml:space="preserve">هـ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01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color w:val="ff0000"/>
          <w:rtl w:val="0"/>
        </w:rPr>
        <w:t xml:space="preserve">07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color w:val="ff0000"/>
          <w:rtl w:val="0"/>
        </w:rPr>
        <w:t xml:space="preserve">2010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3">
      <w:pPr>
        <w:bidi w:val="1"/>
        <w:spacing w:after="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اسم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صاحب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الشركة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السجل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المدني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color w:val="ff0000"/>
          <w:rtl w:val="0"/>
        </w:rPr>
        <w:t xml:space="preserve">00000000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1424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الرياض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ومهنته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رجل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أعمال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1404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الرياض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010.0" w:type="dxa"/>
        <w:jc w:val="left"/>
        <w:tblInd w:w="108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53"/>
        <w:gridCol w:w="3857"/>
        <w:tblGridChange w:id="0">
          <w:tblGrid>
            <w:gridCol w:w="4153"/>
            <w:gridCol w:w="38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طرف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rtl w:val="1"/>
              </w:rPr>
              <w:t xml:space="preserve">طرف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ثاني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07">
      <w:pPr>
        <w:bidi w:val="1"/>
        <w:spacing w:after="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السجل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المدني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color w:val="ff0000"/>
          <w:rtl w:val="0"/>
        </w:rPr>
        <w:t xml:space="preserve">852147963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1424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الرياض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ومهنته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رجل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أعمال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1400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ويقيم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الرياض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تمهـــيد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9">
      <w:pPr>
        <w:bidi w:val="1"/>
        <w:spacing w:after="0" w:lineRule="auto"/>
        <w:jc w:val="both"/>
        <w:rPr/>
      </w:pP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اسم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صاحب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الشركة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يمتلك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مؤسسة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فردية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مقيدة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اسم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مؤسسة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color w:val="ff0000"/>
          <w:rtl w:val="0"/>
        </w:rPr>
        <w:t xml:space="preserve">1010101010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1400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الرياض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ويرغب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تحويلها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after="120" w:lineRule="auto"/>
        <w:jc w:val="both"/>
        <w:rPr/>
      </w:pP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وعمالة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وتصنيف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وتراخيص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عناصرهم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المؤسسة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بمبلغ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100,000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للمؤسسة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اسم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المؤسسة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color w:val="ff0000"/>
          <w:rtl w:val="0"/>
        </w:rPr>
        <w:t xml:space="preserve">1010101010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01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00"/>
          <w:rtl w:val="0"/>
        </w:rPr>
        <w:t xml:space="preserve">1400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الرياض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كمركز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رئيسي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ونهائية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68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22/3/1385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وتعديلاته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B">
      <w:pPr>
        <w:bidi w:val="1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أولا</w:t>
      </w:r>
      <w:r w:rsidDel="00000000" w:rsidR="00000000" w:rsidRPr="00000000">
        <w:rPr>
          <w:b w:val="1"/>
          <w:rtl w:val="1"/>
        </w:rPr>
        <w:t xml:space="preserve">ً : </w:t>
      </w:r>
      <w:r w:rsidDel="00000000" w:rsidR="00000000" w:rsidRPr="00000000">
        <w:rPr>
          <w:b w:val="1"/>
          <w:rtl w:val="1"/>
        </w:rPr>
        <w:t xml:space="preserve">يعتبر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التمهيد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جزء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يتجزأ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</w:p>
    <w:tbl>
      <w:tblPr>
        <w:tblStyle w:val="Table2"/>
        <w:bidiVisual w:val="1"/>
        <w:tblW w:w="864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4"/>
        <w:gridCol w:w="3536"/>
        <w:tblGridChange w:id="0">
          <w:tblGrid>
            <w:gridCol w:w="5104"/>
            <w:gridCol w:w="3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ثانيا</w:t>
            </w:r>
            <w:r w:rsidDel="00000000" w:rsidR="00000000" w:rsidRPr="00000000">
              <w:rPr>
                <w:b w:val="1"/>
                <w:rtl w:val="1"/>
              </w:rPr>
              <w:t xml:space="preserve">ً : </w:t>
            </w: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مسؤولية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محدودة</w:t>
            </w:r>
          </w:p>
        </w:tc>
      </w:tr>
    </w:tbl>
    <w:p w:rsidR="00000000" w:rsidDel="00000000" w:rsidP="00000000" w:rsidRDefault="00000000" w:rsidRPr="00000000" w14:paraId="0000000E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ثالثا</w:t>
      </w:r>
      <w:r w:rsidDel="00000000" w:rsidR="00000000" w:rsidRPr="00000000">
        <w:rPr>
          <w:b w:val="1"/>
          <w:u w:val="single"/>
          <w:rtl w:val="1"/>
        </w:rPr>
        <w:t xml:space="preserve">ً : </w:t>
      </w:r>
      <w:r w:rsidDel="00000000" w:rsidR="00000000" w:rsidRPr="00000000">
        <w:rPr>
          <w:b w:val="1"/>
          <w:u w:val="single"/>
          <w:rtl w:val="1"/>
        </w:rPr>
        <w:t xml:space="preserve">أغراض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الشركة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إن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الأغراض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التي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كونت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الشركة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لأجلها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هي</w:t>
      </w:r>
      <w:r w:rsidDel="00000000" w:rsidR="00000000" w:rsidRPr="00000000">
        <w:rPr>
          <w:b w:val="1"/>
          <w:u w:val="single"/>
          <w:rtl w:val="1"/>
        </w:rPr>
        <w:t xml:space="preserve"> :-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تمكنها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الأراضي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لإقامة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واستثمار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بالبيع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الإيجار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وصيانة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وشراء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وتملك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وبيع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وشراء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واستغلال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العقارات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والأراضي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تجارة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والتجزئة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والأدوات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الصحية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والرخام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والبلاط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والأدوات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والأجهزة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الكهربائية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وتجهيز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وصيانة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المنشآت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7-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للمباني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والشوارع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والجسور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والأنفاق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والسكك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الحديدية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والمطارات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الإنارة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الحفر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الترابية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الصحي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وتصريف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السيول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وصيانة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شبكات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المقاولات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للمباني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السكنية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والتجارية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والمجمعات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السكنية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والتجارية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والحكومية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صيانة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وتشغيل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المنشآت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الكهربائية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والميكانيكية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والالكترونية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والفنادق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والشقق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المفروشة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والمستشفيات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الوكالات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للغير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وتزاول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نشاطها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التراخيص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الازمة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جهات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الاختصاص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والاندماج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تمتلك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تندمج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الاشتراك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تأسيس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المساهمة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المحدودة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لمزاولة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مماثل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متمم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استيفاء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تتطلبه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والتعليمات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يشمل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الوساطة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تداولها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افتتاح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وخارج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اقتضت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سادسا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تأسست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وتجدد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تلقائيا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مماثلة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يخطر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برغبته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الاستمرار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الأصلية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المجددة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بستة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بخطاب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سابعا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100,000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مائة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1000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نقدية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متساوية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توزيعها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الشريكين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كالآتي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"/>
        <w:gridCol w:w="2679"/>
        <w:gridCol w:w="1490"/>
        <w:gridCol w:w="1482"/>
        <w:gridCol w:w="1493"/>
        <w:gridCol w:w="1160"/>
        <w:tblGridChange w:id="0">
          <w:tblGrid>
            <w:gridCol w:w="326"/>
            <w:gridCol w:w="2679"/>
            <w:gridCol w:w="1490"/>
            <w:gridCol w:w="1482"/>
            <w:gridCol w:w="1493"/>
            <w:gridCol w:w="1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الشريك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الإجمالي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النسبة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الإجمالي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%100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توزيع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بقيمتها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وأودعت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النقدية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الخصوص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ثامنا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تخفيض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إصدار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إلزام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أغلبية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يمثلون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أرباع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تخفيض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للأوضاع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تخفيض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نتيجة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زيادته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الدائنين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إبداء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اعتراضاتهم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التخفيض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توزع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أعترض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مستنداته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المؤيدة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لاستحقاقه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الميعاد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تؤدي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دينه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ضمانات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للوفاء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آجلا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التخفيض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نتيجة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خسارة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وبلغت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الخسارة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التخفيض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تاسعا</w:t>
      </w:r>
      <w:r w:rsidDel="00000000" w:rsidR="00000000" w:rsidRPr="00000000">
        <w:rPr>
          <w:b w:val="1"/>
          <w:u w:val="single"/>
          <w:rtl w:val="1"/>
        </w:rPr>
        <w:t xml:space="preserve">ً : </w:t>
      </w:r>
      <w:r w:rsidDel="00000000" w:rsidR="00000000" w:rsidRPr="00000000">
        <w:rPr>
          <w:b w:val="1"/>
          <w:u w:val="single"/>
          <w:rtl w:val="1"/>
        </w:rPr>
        <w:t xml:space="preserve">الحصص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48">
      <w:pPr>
        <w:bidi w:val="1"/>
        <w:jc w:val="both"/>
        <w:rPr/>
      </w:pPr>
      <w:r w:rsidDel="00000000" w:rsidR="00000000" w:rsidRPr="00000000">
        <w:rPr>
          <w:rtl w:val="1"/>
        </w:rPr>
        <w:t xml:space="preserve">الحصص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ورثتهم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لباقي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(165)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49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عاشرا</w:t>
      </w:r>
      <w:r w:rsidDel="00000000" w:rsidR="00000000" w:rsidRPr="00000000">
        <w:rPr>
          <w:b w:val="1"/>
          <w:u w:val="single"/>
          <w:rtl w:val="1"/>
        </w:rPr>
        <w:t xml:space="preserve">ً : </w:t>
      </w:r>
      <w:r w:rsidDel="00000000" w:rsidR="00000000" w:rsidRPr="00000000">
        <w:rPr>
          <w:b w:val="1"/>
          <w:u w:val="single"/>
          <w:rtl w:val="1"/>
        </w:rPr>
        <w:t xml:space="preserve">سجل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الحصص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4A">
      <w:pPr>
        <w:bidi w:val="1"/>
        <w:spacing w:after="0" w:lineRule="auto"/>
        <w:jc w:val="both"/>
        <w:rPr/>
      </w:pPr>
      <w:r w:rsidDel="00000000" w:rsidR="00000000" w:rsidRPr="00000000">
        <w:rPr>
          <w:rtl w:val="1"/>
        </w:rPr>
        <w:t xml:space="preserve">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خاصا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يمتلكها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التصرفات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للملكية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ومهنته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وجنسيته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وعنوانه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وقيمتها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يمتلكها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وقيمتها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تصرفات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والمتصرف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وتوقيعهما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يملكه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التصرف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وقيمتها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ترقيم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صفحات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ترقيما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مسلسلا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نزع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صفحاته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كشط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المدونة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حادي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عشر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إدارة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الشركة</w:t>
      </w:r>
      <w:r w:rsidDel="00000000" w:rsidR="00000000" w:rsidRPr="00000000">
        <w:rPr>
          <w:b w:val="1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محمد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محمد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السلطات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والصلاحيات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المعطاة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لمدير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وضعنا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السلطات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والصلاحيات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تمثيل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علاقاتها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القضاء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بالنيابة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والمحاكم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والمصالح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والوزارات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والمؤسسات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والهيئات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والافراد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المحاكم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درجاتها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اللجان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القضائية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ولجان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وديوان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المظالم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ولجان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التحكيم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الخبراء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والمحكمين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وتوكيل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المحامين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أتعابهم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وعزلهم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وإبرام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وتوقيع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الاتفاقيات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والعقود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لإنجاز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الصفقات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والتصرفات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الداخلة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نطاق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أغراض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والدخول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المناقصات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العطاءات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والمنافسة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وقبول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ورفضها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خارجها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وإغلاقها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وإدارتها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والإيداع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والسحب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والاقتراض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للضوابط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الضمانات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التسهيلات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الاعتمادات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وتوقيع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الشيكات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jc w:val="both"/>
        <w:rPr/>
      </w:pPr>
      <w:r w:rsidDel="00000000" w:rsidR="00000000" w:rsidRPr="00000000">
        <w:rPr>
          <w:rtl w:val="1"/>
        </w:rPr>
        <w:t xml:space="preserve">والتوقيع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والكمبيالات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تقرها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نيابة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لتسيير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شئونهم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الوكالات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ووكالات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لتمثيل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والأجنبية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والمدافعة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والمرافعة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والعطاء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والإسقاط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أموالهم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وفكها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والعقارات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وشرائها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وتأجيرها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ورهنها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والإفراغ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وخارجها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صكوك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وتخطيط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تمثيل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وقبولها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وشطبها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وخارجها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نيابة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الوكالات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وإلغائها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الوكلاء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8">
      <w:pPr>
        <w:bidi w:val="1"/>
        <w:spacing w:after="120" w:lineRule="auto"/>
        <w:jc w:val="both"/>
        <w:rPr/>
      </w:pP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لائق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9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ثاني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عشر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مراقبي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الحسابات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5B">
      <w:pPr>
        <w:bidi w:val="1"/>
        <w:jc w:val="both"/>
        <w:rPr/>
      </w:pP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يختاره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الختامية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وفحص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دفاتر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ووثائقها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تبرمها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الإيضاحات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يرى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ضرورة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أتعابه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السنوية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ثالث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عشر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جمعية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الشركاء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5E">
      <w:pPr>
        <w:bidi w:val="1"/>
        <w:jc w:val="both"/>
        <w:rPr/>
      </w:pPr>
      <w:r w:rsidDel="00000000" w:rsidR="00000000" w:rsidRPr="00000000">
        <w:rPr>
          <w:rtl w:val="1"/>
        </w:rPr>
        <w:t xml:space="preserve">تدعى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ومركزها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وحساباتها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الختامية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تعيينه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أتعابه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رابع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عشر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قرارات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الشركاء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61">
      <w:pPr>
        <w:bidi w:val="1"/>
        <w:jc w:val="both"/>
        <w:rPr/>
      </w:pPr>
      <w:r w:rsidDel="00000000" w:rsidR="00000000" w:rsidRPr="00000000">
        <w:rPr>
          <w:rtl w:val="1"/>
        </w:rPr>
        <w:t xml:space="preserve">تصدر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بالإجماع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يمثلون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يمثلون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وللشريك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التصويت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نيابة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توكيل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الحاضرون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المتخذة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خامس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عشر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السنة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المالية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وتنتهي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1432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ميزانية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عمومية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وحساب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الأرباح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والخسائر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وتقريرا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ومركزها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واقتراحاتهم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توزيع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الأرباح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وعليهم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يرسلوا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بوزارة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والصناعة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بنسخة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مراقب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إعدادها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سادس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عشر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الأرباح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والخسائر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68">
      <w:pPr>
        <w:bidi w:val="1"/>
        <w:spacing w:after="0" w:lineRule="auto"/>
        <w:jc w:val="both"/>
        <w:rPr/>
      </w:pPr>
      <w:r w:rsidDel="00000000" w:rsidR="00000000" w:rsidRPr="00000000">
        <w:rPr>
          <w:rtl w:val="1"/>
        </w:rPr>
        <w:t xml:space="preserve">توزع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المصروفات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تجنب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10%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الأرباح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الصافية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لتكوين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الاحتياطي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النظامي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(176)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تجنيب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الاحتياطي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يوزع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يقرر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احتياطيات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ترحيل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رصيد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الأرباح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جزئيا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خسائر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يتحملها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يملكه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ترحيلها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توزيع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أرباح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استهلاك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الخسارة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بلغت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خسائر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رأسمالها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للاجتماع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تزيد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ثلاثين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بلوغ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الخسارة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للنظر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استمرار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ديونها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صحيحا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طبقا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(173)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بالطرق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(164)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استمرت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مزاولة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نشاطها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باستمرارها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بالشروط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أصبح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بالتضامن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ديون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سابع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انقضاء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6C">
      <w:pPr>
        <w:bidi w:val="1"/>
        <w:spacing w:after="0" w:lineRule="auto"/>
        <w:jc w:val="both"/>
        <w:rPr/>
      </w:pPr>
      <w:r w:rsidDel="00000000" w:rsidR="00000000" w:rsidRPr="00000000">
        <w:rPr>
          <w:rtl w:val="1"/>
        </w:rPr>
        <w:t xml:space="preserve">تنقضي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(15)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وبانقضائها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مراعاة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وتصفية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معتمد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مرخص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يثبت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بالتزاماتها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وديونها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الدائنين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إبرام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تعذر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تصفية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ديون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المظالم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إفلاس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الدائنين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ثامن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عشر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الإخطارات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71">
      <w:pPr>
        <w:bidi w:val="1"/>
        <w:jc w:val="both"/>
        <w:rPr/>
      </w:pPr>
      <w:r w:rsidDel="00000000" w:rsidR="00000000" w:rsidRPr="00000000">
        <w:rPr>
          <w:rtl w:val="1"/>
        </w:rPr>
        <w:t xml:space="preserve">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الإخطارات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بخطابات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عناوينهم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بالمادة</w:t>
      </w:r>
      <w:r w:rsidDel="00000000" w:rsidR="00000000" w:rsidRPr="00000000">
        <w:rPr>
          <w:rtl w:val="1"/>
        </w:rPr>
        <w:t xml:space="preserve"> (10)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تاسع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عشر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أحكام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عامة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يطبق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بشأنه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عشرون</w:t>
      </w:r>
      <w:r w:rsidDel="00000000" w:rsidR="00000000" w:rsidRPr="00000000">
        <w:rPr>
          <w:b w:val="1"/>
          <w:u w:val="single"/>
          <w:rtl w:val="1"/>
        </w:rPr>
        <w:t xml:space="preserve"> : </w:t>
      </w:r>
      <w:r w:rsidDel="00000000" w:rsidR="00000000" w:rsidRPr="00000000">
        <w:rPr>
          <w:b w:val="1"/>
          <w:u w:val="single"/>
          <w:rtl w:val="1"/>
        </w:rPr>
        <w:t xml:space="preserve">نسخ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العقد</w:t>
      </w:r>
      <w:r w:rsidDel="00000000" w:rsidR="00000000" w:rsidRPr="00000000">
        <w:rPr>
          <w:b w:val="1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78">
      <w:pPr>
        <w:bidi w:val="1"/>
        <w:jc w:val="both"/>
        <w:rPr/>
      </w:pPr>
      <w:r w:rsidDel="00000000" w:rsidR="00000000" w:rsidRPr="00000000">
        <w:rPr>
          <w:rtl w:val="1"/>
        </w:rPr>
        <w:t xml:space="preserve">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أستلم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مؤسسة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إلـ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تيـ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إيـ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نيابة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يختص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الشأن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والله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التوفيق</w:t>
      </w:r>
      <w:r w:rsidDel="00000000" w:rsidR="00000000" w:rsidRPr="00000000">
        <w:rPr>
          <w:b w:val="1"/>
          <w:rtl w:val="1"/>
        </w:rPr>
        <w:t xml:space="preserve">،،</w:t>
      </w:r>
    </w:p>
    <w:p w:rsidR="00000000" w:rsidDel="00000000" w:rsidP="00000000" w:rsidRDefault="00000000" w:rsidRPr="00000000" w14:paraId="0000007B">
      <w:pPr>
        <w:bidi w:val="1"/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الشريك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خالد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خالد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سعد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سعد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8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458D"/>
    <w:pPr>
      <w:bidi w:val="1"/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9458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D9458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706FE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6FEF"/>
  </w:style>
  <w:style w:type="paragraph" w:styleId="Footer">
    <w:name w:val="footer"/>
    <w:basedOn w:val="Normal"/>
    <w:link w:val="FooterChar"/>
    <w:uiPriority w:val="99"/>
    <w:unhideWhenUsed w:val="1"/>
    <w:rsid w:val="00706FE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6FE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D0yXa2K1GbMIFXt3s9HmZJczdg==">AMUW2mWSgkHByBc1a+JEvk2EJ/47LmGvAVeto9zTYlC9zsUvelhBw+xWpBNntBZdpjwK6y+gfMtvlpEzehHaWytlXy1Yo1lfM8LdABJSY3TXB7UWJGPdbKdrAvierVhqUaKG1GcqFtQW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2014-07-05T01:44:00Z</dcterms:created>
  <dc:creator>Waraqi.com</dc:creator>
</cp:coreProperties>
</file>